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1DE8">
      <w:pPr>
        <w:adjustRightInd w:val="0"/>
        <w:spacing w:line="440" w:lineRule="exact"/>
        <w:jc w:val="center"/>
        <w:rPr>
          <w:rFonts w:ascii="仿宋_GB2312" w:eastAsia="仿宋_GB2312" w:cs="Times New Roman"/>
          <w:color w:val="000000"/>
          <w:sz w:val="32"/>
          <w:szCs w:val="32"/>
        </w:rPr>
      </w:pPr>
    </w:p>
    <w:p w14:paraId="0F3618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20" w:lineRule="exact"/>
        <w:jc w:val="center"/>
        <w:textAlignment w:val="auto"/>
        <w:rPr>
          <w:rFonts w:ascii="仿宋_GB2312" w:eastAsia="仿宋_GB2312" w:cs="Times New Roman"/>
          <w:color w:val="000000"/>
          <w:sz w:val="32"/>
          <w:szCs w:val="32"/>
        </w:rPr>
      </w:pPr>
    </w:p>
    <w:p w14:paraId="3ECA72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20" w:lineRule="exact"/>
        <w:jc w:val="center"/>
        <w:textAlignment w:val="auto"/>
        <w:rPr>
          <w:rFonts w:ascii="仿宋_GB2312" w:eastAsia="仿宋_GB2312" w:cs="Times New Roman"/>
          <w:color w:val="000000"/>
          <w:sz w:val="32"/>
          <w:szCs w:val="32"/>
        </w:rPr>
      </w:pPr>
    </w:p>
    <w:p w14:paraId="64E32D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20" w:lineRule="exact"/>
        <w:ind w:right="-260" w:rightChars="-124"/>
        <w:jc w:val="center"/>
        <w:textAlignment w:val="auto"/>
        <w:rPr>
          <w:rFonts w:ascii="仿宋_GB2312" w:eastAsia="仿宋_GB2312" w:cs="Times New Roman"/>
          <w:color w:val="000000"/>
          <w:sz w:val="32"/>
          <w:szCs w:val="32"/>
        </w:rPr>
      </w:pPr>
    </w:p>
    <w:p w14:paraId="5BE395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20" w:lineRule="exact"/>
        <w:jc w:val="center"/>
        <w:textAlignment w:val="auto"/>
        <w:rPr>
          <w:rFonts w:ascii="仿宋_GB2312" w:eastAsia="仿宋_GB2312" w:cs="Times New Roman"/>
          <w:color w:val="000000"/>
          <w:sz w:val="32"/>
          <w:szCs w:val="32"/>
        </w:rPr>
      </w:pPr>
    </w:p>
    <w:p w14:paraId="2BBA24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20" w:lineRule="exact"/>
        <w:jc w:val="center"/>
        <w:textAlignment w:val="auto"/>
        <w:rPr>
          <w:rFonts w:ascii="仿宋_GB2312" w:eastAsia="仿宋_GB2312" w:cs="Times New Roman"/>
          <w:color w:val="000000"/>
          <w:sz w:val="32"/>
          <w:szCs w:val="32"/>
        </w:rPr>
      </w:pPr>
    </w:p>
    <w:p w14:paraId="14C87C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20" w:lineRule="exact"/>
        <w:jc w:val="both"/>
        <w:textAlignment w:val="auto"/>
        <w:rPr>
          <w:rFonts w:ascii="仿宋_GB2312" w:eastAsia="仿宋_GB2312" w:cs="Times New Roman"/>
          <w:color w:val="000000"/>
          <w:sz w:val="32"/>
          <w:szCs w:val="32"/>
        </w:rPr>
      </w:pPr>
    </w:p>
    <w:p w14:paraId="67E6BA25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hint="eastAsia" w:ascii="仿宋_GB2312" w:eastAsia="仿宋_GB2312" w:cs="仿宋_GB2312"/>
          <w:snapToGrid w:val="0"/>
          <w:color w:val="000000"/>
          <w:sz w:val="32"/>
          <w:szCs w:val="32"/>
        </w:rPr>
      </w:pPr>
    </w:p>
    <w:p w14:paraId="746FF2EA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仿宋_GB2312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</w:rPr>
        <w:t>淮商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运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</w:rPr>
        <w:t>〔</w:t>
      </w:r>
      <w:r>
        <w:rPr>
          <w:rFonts w:ascii="仿宋_GB2312" w:eastAsia="仿宋_GB2312" w:cs="仿宋_GB2312"/>
          <w:snapToGrid w:val="0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</w:rPr>
        <w:t>〕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51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</w:rPr>
        <w:t>号</w:t>
      </w:r>
    </w:p>
    <w:p w14:paraId="20EF5569">
      <w:pPr>
        <w:snapToGrid w:val="0"/>
        <w:spacing w:line="52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14:paraId="022F0582">
      <w:pPr>
        <w:pStyle w:val="16"/>
      </w:pPr>
    </w:p>
    <w:p w14:paraId="78D158A2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关于成立淮安市消费品以旧换新专班的通知</w:t>
      </w:r>
    </w:p>
    <w:p w14:paraId="2AD7474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767EA2F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各县（区）商务局，淮安经济技术开发区、淮安工业园区、淮安生态文旅区经发局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 w14:paraId="65DE116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为贯彻落实市委、市政府工作要求，落实《淮安市推动大规模设备更新和消费品以旧换新实施方案》，加快推动我市新一轮大规模消费品以旧换新工作，经研究，决定成立淮安市消费品以旧换新专班，并制定工作方案。</w:t>
      </w:r>
    </w:p>
    <w:p w14:paraId="2923754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1A58985D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附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件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：淮安市消费品以旧换新专班工作方案</w:t>
      </w:r>
    </w:p>
    <w:p w14:paraId="68BB9FC7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32F2BB3B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center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淮安市商务局</w:t>
      </w:r>
    </w:p>
    <w:p w14:paraId="66153AD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center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30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日</w:t>
      </w:r>
    </w:p>
    <w:p w14:paraId="3636983F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65B82F1B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70B0428F"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eastAsia="方正仿宋_GBK" w:cs="黑体"/>
          <w:color w:val="000000"/>
          <w:sz w:val="32"/>
          <w:szCs w:val="32"/>
          <w:lang w:bidi="ar-SA"/>
        </w:rPr>
      </w:pPr>
    </w:p>
    <w:p w14:paraId="44750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大标宋_GBK" w:eastAsia="方正大标宋_GBK" w:cs="黑体"/>
          <w:sz w:val="32"/>
          <w:szCs w:val="32"/>
          <w:lang w:bidi="ar-SA"/>
        </w:rPr>
      </w:pPr>
    </w:p>
    <w:p w14:paraId="458C0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大标宋_GBK" w:eastAsia="方正大标宋_GBK" w:cs="黑体"/>
          <w:sz w:val="32"/>
          <w:szCs w:val="32"/>
          <w:lang w:bidi="ar-SA"/>
        </w:rPr>
      </w:pPr>
    </w:p>
    <w:p w14:paraId="34E09BB4">
      <w:pPr>
        <w:pStyle w:val="16"/>
        <w:rPr>
          <w:rFonts w:hint="eastAsia" w:ascii="方正大标宋_GBK" w:eastAsia="方正大标宋_GBK" w:cs="黑体"/>
          <w:sz w:val="32"/>
          <w:szCs w:val="32"/>
          <w:lang w:bidi="ar-SA"/>
        </w:rPr>
      </w:pPr>
    </w:p>
    <w:p w14:paraId="290BBF2D">
      <w:pPr>
        <w:rPr>
          <w:rFonts w:hint="eastAsia" w:ascii="方正大标宋_GBK" w:eastAsia="方正大标宋_GBK" w:cs="黑体"/>
          <w:sz w:val="32"/>
          <w:szCs w:val="32"/>
          <w:lang w:bidi="ar-SA"/>
        </w:rPr>
      </w:pPr>
    </w:p>
    <w:p w14:paraId="5C02D283">
      <w:pPr>
        <w:pStyle w:val="16"/>
        <w:rPr>
          <w:rFonts w:hint="eastAsia" w:ascii="方正大标宋_GBK" w:eastAsia="方正大标宋_GBK" w:cs="黑体"/>
          <w:sz w:val="32"/>
          <w:szCs w:val="32"/>
          <w:lang w:bidi="ar-SA"/>
        </w:rPr>
      </w:pPr>
    </w:p>
    <w:p w14:paraId="24BCC636">
      <w:pPr>
        <w:rPr>
          <w:rFonts w:hint="eastAsia" w:ascii="方正大标宋_GBK" w:eastAsia="方正大标宋_GBK" w:cs="黑体"/>
          <w:sz w:val="32"/>
          <w:szCs w:val="32"/>
          <w:lang w:bidi="ar-SA"/>
        </w:rPr>
      </w:pPr>
    </w:p>
    <w:p w14:paraId="3E052E52">
      <w:pPr>
        <w:pStyle w:val="16"/>
        <w:rPr>
          <w:rFonts w:hint="eastAsia" w:ascii="方正大标宋_GBK" w:eastAsia="方正大标宋_GBK" w:cs="黑体"/>
          <w:sz w:val="32"/>
          <w:szCs w:val="32"/>
          <w:lang w:bidi="ar-SA"/>
        </w:rPr>
      </w:pPr>
    </w:p>
    <w:p w14:paraId="05E3A476">
      <w:pPr>
        <w:pStyle w:val="16"/>
        <w:jc w:val="both"/>
        <w:rPr>
          <w:rFonts w:hint="eastAsia" w:ascii="方正大标宋_GBK" w:eastAsia="方正大标宋_GBK" w:cs="黑体"/>
          <w:sz w:val="32"/>
          <w:szCs w:val="32"/>
          <w:lang w:bidi="ar-SA"/>
        </w:rPr>
      </w:pPr>
    </w:p>
    <w:p w14:paraId="4F692B96">
      <w:pPr>
        <w:keepNext w:val="0"/>
        <w:keepLines w:val="0"/>
        <w:pageBreakBefore w:val="0"/>
        <w:widowControl w:val="0"/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eastAsia="方正仿宋_GBK" w:cs="Times New Roman"/>
          <w:sz w:val="32"/>
          <w:szCs w:val="32"/>
        </w:rPr>
      </w:pPr>
    </w:p>
    <w:p w14:paraId="466E1F48">
      <w:pPr>
        <w:keepNext w:val="0"/>
        <w:keepLines w:val="0"/>
        <w:pageBreakBefore w:val="0"/>
        <w:widowControl w:val="0"/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eastAsia="方正仿宋_GBK" w:cs="Times New Roman"/>
          <w:sz w:val="32"/>
          <w:szCs w:val="32"/>
        </w:rPr>
      </w:pPr>
    </w:p>
    <w:p w14:paraId="2CC73207">
      <w:pPr>
        <w:keepNext w:val="0"/>
        <w:keepLines w:val="0"/>
        <w:pageBreakBefore w:val="0"/>
        <w:widowControl w:val="0"/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eastAsia="方正仿宋_GBK" w:cs="Times New Roman"/>
          <w:sz w:val="32"/>
          <w:szCs w:val="32"/>
        </w:rPr>
      </w:pPr>
    </w:p>
    <w:p w14:paraId="0747A079">
      <w:pPr>
        <w:keepNext w:val="0"/>
        <w:keepLines w:val="0"/>
        <w:pageBreakBefore w:val="0"/>
        <w:widowControl w:val="0"/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eastAsia="方正仿宋_GBK" w:cs="Times New Roman"/>
          <w:sz w:val="32"/>
          <w:szCs w:val="32"/>
        </w:rPr>
      </w:pPr>
    </w:p>
    <w:p w14:paraId="2F5D458C">
      <w:pPr>
        <w:keepNext w:val="0"/>
        <w:keepLines w:val="0"/>
        <w:pageBreakBefore w:val="0"/>
        <w:widowControl w:val="0"/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eastAsia="方正仿宋_GBK" w:cs="Times New Roman"/>
          <w:sz w:val="32"/>
          <w:szCs w:val="32"/>
        </w:rPr>
      </w:pPr>
    </w:p>
    <w:p w14:paraId="5954730B">
      <w:pPr>
        <w:keepNext w:val="0"/>
        <w:keepLines w:val="0"/>
        <w:pageBreakBefore w:val="0"/>
        <w:widowControl w:val="0"/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eastAsia="方正仿宋_GBK" w:cs="Times New Roman"/>
          <w:sz w:val="32"/>
          <w:szCs w:val="32"/>
        </w:rPr>
      </w:pPr>
    </w:p>
    <w:p w14:paraId="4277F194">
      <w:pPr>
        <w:keepNext w:val="0"/>
        <w:keepLines w:val="0"/>
        <w:pageBreakBefore w:val="0"/>
        <w:widowControl w:val="0"/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eastAsia="方正仿宋_GBK" w:cs="Times New Roman"/>
          <w:sz w:val="32"/>
          <w:szCs w:val="32"/>
        </w:rPr>
      </w:pPr>
    </w:p>
    <w:p w14:paraId="237D4149">
      <w:pPr>
        <w:keepNext w:val="0"/>
        <w:keepLines w:val="0"/>
        <w:pageBreakBefore w:val="0"/>
        <w:widowControl w:val="0"/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eastAsia="方正仿宋_GBK" w:cs="Times New Roman"/>
          <w:sz w:val="32"/>
          <w:szCs w:val="32"/>
        </w:rPr>
      </w:pPr>
    </w:p>
    <w:p w14:paraId="60D19D46">
      <w:pPr>
        <w:keepNext w:val="0"/>
        <w:keepLines w:val="0"/>
        <w:pageBreakBefore w:val="0"/>
        <w:widowControl w:val="0"/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eastAsia="方正仿宋_GBK" w:cs="Times New Roman"/>
          <w:sz w:val="32"/>
          <w:szCs w:val="32"/>
        </w:rPr>
      </w:pPr>
    </w:p>
    <w:p w14:paraId="00371265">
      <w:pPr>
        <w:keepNext w:val="0"/>
        <w:keepLines w:val="0"/>
        <w:pageBreakBefore w:val="0"/>
        <w:widowControl w:val="0"/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eastAsia="方正仿宋_GBK" w:cs="Times New Roman"/>
          <w:b w:val="0"/>
          <w:bCs w:val="0"/>
          <w:sz w:val="32"/>
          <w:szCs w:val="32"/>
        </w:rPr>
      </w:pPr>
      <w:r>
        <w:rPr>
          <w:b w:val="0"/>
          <w:bCs w:val="0"/>
        </w:rPr>
        <w:pict>
          <v:line id="_x0000_s1038" o:spid="_x0000_s1038" o:spt="20" style="position:absolute;left:0pt;margin-left:-4.05pt;margin-top:25.55pt;height:0pt;width:45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1E6918A3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b w:val="0"/>
          <w:bCs w:val="0"/>
        </w:rPr>
        <w:pict>
          <v:line id="_x0000_s1039" o:spid="_x0000_s1039" o:spt="20" style="position:absolute;left:0pt;margin-left:-3.35pt;margin-top:29.7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淮安市商务局办公室</w:t>
      </w:r>
      <w:r>
        <w:rPr>
          <w:rFonts w:ascii="仿宋_GB2312" w:eastAsia="仿宋_GB2312" w:cs="仿宋_GB2312"/>
          <w:b w:val="0"/>
          <w:bCs w:val="0"/>
          <w:sz w:val="30"/>
          <w:szCs w:val="30"/>
        </w:rPr>
        <w:t xml:space="preserve">        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 w:cs="仿宋_GB2312"/>
          <w:b w:val="0"/>
          <w:bCs w:val="0"/>
          <w:sz w:val="30"/>
          <w:szCs w:val="30"/>
        </w:rPr>
        <w:t xml:space="preserve">    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 w:cs="仿宋_GB2312"/>
          <w:b w:val="0"/>
          <w:bCs w:val="0"/>
          <w:sz w:val="30"/>
          <w:szCs w:val="30"/>
        </w:rPr>
        <w:t xml:space="preserve">   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 w:cs="仿宋_GB2312"/>
          <w:b w:val="0"/>
          <w:bCs w:val="0"/>
          <w:sz w:val="30"/>
          <w:szCs w:val="30"/>
        </w:rPr>
        <w:t>202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年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月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日印发</w:t>
      </w:r>
    </w:p>
    <w:p w14:paraId="70E3A22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653823F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淮安市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消费品以旧换新专班工作方案</w:t>
      </w:r>
    </w:p>
    <w:p w14:paraId="7A9C0551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before="0" w:after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FCE830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一、目标要求</w:t>
      </w:r>
    </w:p>
    <w:p w14:paraId="478AE26A">
      <w:pPr>
        <w:keepNext w:val="0"/>
        <w:keepLines w:val="0"/>
        <w:pageBreakBefore w:val="0"/>
        <w:widowControl/>
        <w:shd w:val="clear" w:color="auto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坚持市场主导、政府引导、鼓励先进、淘汰落后，推动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全市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家电、汽车、家装等重点商品消费加快升级，健全废旧产品回收体系，促进商贸流通绿色发展。到2024年底，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报废汽车回收量较2023年增加约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，力争限额以上汽车销售企业新增数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较2023年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增长5%以上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更新家电（含电冰箱、洗衣机、空调、电视等）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40万台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2024年再生资源回收企业备案数450家，综合分拣中心1-2家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废旧家电回收量较2023年增长5%以上、达142万台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培育再生资源回收典型企业2家左右。</w:t>
      </w:r>
    </w:p>
    <w:p w14:paraId="6E29716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二、工作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专班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架构</w:t>
      </w:r>
    </w:p>
    <w:p w14:paraId="2F4EE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98" w:leftChars="304" w:hanging="2560" w:hangingChars="8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  长：龚晓琴  市商务局党组书记、市商务局局长，市口岸办主任、二级巡视员</w:t>
      </w:r>
    </w:p>
    <w:p w14:paraId="487C5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副组长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周  菲  市商务局党组成员、副局长</w:t>
      </w:r>
    </w:p>
    <w:p w14:paraId="45365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赵春丽  市商务局党组成员、副局长</w:t>
      </w:r>
    </w:p>
    <w:p w14:paraId="3FA91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-3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成  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江  峰  </w:t>
      </w:r>
      <w:r>
        <w:rPr>
          <w:rFonts w:hint="default" w:ascii="Times New Roman" w:hAnsi="Times New Roman" w:eastAsia="方正仿宋_GBK" w:cs="Times New Roman"/>
          <w:color w:val="000000"/>
          <w:spacing w:val="-34"/>
          <w:sz w:val="32"/>
          <w:szCs w:val="32"/>
          <w:lang w:val="en-US" w:eastAsia="zh-CN"/>
        </w:rPr>
        <w:t xml:space="preserve">市场体系建设和流通业发展处处长、一级主任科员 </w:t>
      </w:r>
    </w:p>
    <w:p w14:paraId="14AD8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34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刘孝景  对外贸易管理处一级主任科员</w:t>
      </w:r>
    </w:p>
    <w:p w14:paraId="1FA72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袁锋军  市场运行和消费促进处处长</w:t>
      </w:r>
    </w:p>
    <w:p w14:paraId="71CA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冯海洋  电子商务和信息化处处长</w:t>
      </w:r>
    </w:p>
    <w:p w14:paraId="77E47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严祖会  财务处处长、一级主任科员</w:t>
      </w:r>
    </w:p>
    <w:p w14:paraId="4BC02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郑文昌   办公室主任</w:t>
      </w:r>
    </w:p>
    <w:p w14:paraId="035D0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谢祖平   市再生资源管理服务中心主任</w:t>
      </w:r>
    </w:p>
    <w:p w14:paraId="1158C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工作专班设办公室，办公室主任由赵春丽同志兼任，业务牵头处室为局运行处。</w:t>
      </w:r>
    </w:p>
    <w:p w14:paraId="2CE3A69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三、主要任务</w:t>
      </w:r>
    </w:p>
    <w:p w14:paraId="6E56D3D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（一）开展消费品以旧换新</w:t>
      </w:r>
    </w:p>
    <w:p w14:paraId="0F7FBE2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紧密结合“苏新消费”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幸福满淮·安心消费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活动，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坚持“市县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、政银企、内外贸、线上下”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，共同推出优惠政策，更好满足市民群众高品质、个性化的以旧换新消费需求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2144B95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落实商务部汽车以旧换新政策措施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落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实《商务部  财政部等七部委关于印发&lt;汽车以旧换新补贴实施细则&gt;的通知》（商消费函〔2024〕75号）精神，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收到个人消费者申请材料后，会同财政、公安、工业和信息化等部门按照职能职责进行审核，及时汇总符合补贴条件的申请人信息，确定补贴金额，并向财政部门提出资金申请及安排建议，再按程序将补贴资金拨付至申请人提供的银行帐户。鼓励有条件的县区出台汽车以旧换新支持政策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（责任处室：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市场处、财务处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</w:p>
    <w:p w14:paraId="4202D27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组织开展汽车促消费活动。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推出购车补贴、车型优惠、置换补贴、购置税补贴、上牌补贴、以旧换新补贴等促销让利“大礼包”，探索开展“以旧换新”叠加补贴政策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；应用促消费政策，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加快推动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二手车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出口业务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，进一步释放汽车消费潜力。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（责任处室：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运行处、外贸处、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财务处）</w:t>
      </w:r>
    </w:p>
    <w:p w14:paraId="6C8CE78F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推进家电消费升级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组织家电卖场参与全省绿色节能家电10%补贴活动，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叠加企业优惠。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继续开展“苏新消费·销售竞赛”活动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指导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家电销售企业开设线上线下“焕新生活”家电以旧换新专区，提供价格立减、取旧送新、免费安装等“一站式”服务。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（责任处室：运行处）</w:t>
      </w:r>
    </w:p>
    <w:p w14:paraId="077A6A46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开展电动自行车以旧换新。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开展电动自行车销售企业销售竞赛活动，对销售额和增幅排名靠前的企业给予资金支持。鼓励支持电动自行车销售企业开展“以旧换新”活动，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支持企业做优线上线下政策宣传，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电动车销售进社区、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进企业、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进平台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对相关活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动加大宣传推广力度。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（责任处室：运行处）</w:t>
      </w:r>
    </w:p>
    <w:p w14:paraId="58108660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组织开展家装促消费活动。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利用“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幸福满淮·安心消费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”四季主题促消费活动，支持重点商贸流通企业围绕家装消费品等开展促销。指导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开展“家电家装嘉年华”活动，聚焦家电、家装等大宗商品，整合品牌、门店、关联行业等各方资源，推动绿色智能家居产品普及应用。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（责任处室：运行处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市场处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</w:p>
    <w:p w14:paraId="14E69DDE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支持电商平台开展促消费活动。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引导电商企业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拓宽销售品类，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鼓励销售企业利用直播带货等形式推广“以旧换新”，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全面覆盖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汽车、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家电、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电动自行车、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家装等全生活场景耐用消费品，为消费者提供更加丰富的换新消费选择。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（责任处室：电商处）</w:t>
      </w:r>
    </w:p>
    <w:p w14:paraId="49367E1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（二）健全再生资源回收体系</w:t>
      </w:r>
    </w:p>
    <w:p w14:paraId="0B517CB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 培育回收体系典型城市和典型企业。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落实商务部等9部门关于健全废旧家电等再生资源回收体系的有关要求，合理规划回收网络布局，完善社区回收网点、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街道中转站、区县分拣中心建设，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畅通公共机构回收渠道。延伸生产企业责任，发挥流通企业渠道优势，支持回收企业做大做强。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（责任处室：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再管中心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</w:p>
    <w:p w14:paraId="0793299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畅通消费品回收渠道便民利民。鼓励再生资源回收企业开发移动小程序，通过“线上预约、电话预约”+“上门服务”开展“拆旧+收旧”便民服务。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配合市税务局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支持回收拆解企业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向售废自然人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“反向开票”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支持本地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有资质家电拆解企业苏北拆解公司新上吸油烟机、电热水器、燃气热水器等新九类废旧家电回收拆解项目，拓展家电回收品种、提高回收量。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（责任处室：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再管中心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</w:p>
    <w:p w14:paraId="70B47DF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 支持二手车流通。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落实小型非营运二手车交易登记跨省通办、一网通办政策，加强“江苏省汽车流通信息服务（二手车）系统”推广应用，便利二手车交易。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（责任处室：市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处）</w:t>
      </w:r>
    </w:p>
    <w:p w14:paraId="3ABC1B0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4. 规范报废处置。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督促指导废旧家电、报废汽车回收拆解企业规范作业流程，落实企业安全生产主体责任，推动行业稳步发展。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鼓励报废汽车回收企业优化车辆报废服务，开展上门取车、代办注销等便捷服务。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报废机动车回收拆解行业专项整治，规范行业发展秩序，提升行业发展水平。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（责任处室：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市场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再管中心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</w:p>
    <w:p w14:paraId="4839133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/>
        </w:rPr>
        <w:t>加大向上争取和政策宣传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>。</w:t>
      </w:r>
    </w:p>
    <w:p w14:paraId="336F90C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进一步加大向上争取力度。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积极争取国家和省相关政策支持，争取淮安企业中标省绿色节能家电补贴活动。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依托全国汽车流通信息管理系统，联合市财政、公安等部门进行审核，确保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汽车以旧换新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补贴资金尽快拨付到位。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（责任处室：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运行处、市场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再管中心、综合处、财务处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</w:p>
    <w:p w14:paraId="00665DE4">
      <w:pPr>
        <w:pStyle w:val="1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全面营造“以旧换新”宣传氛围。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围绕“以旧换新”、促消费等，常态化做好政策宣传和汽车、家电、家居以旧换新流程等宣传工作，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充分调动群众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以旧换新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活动的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在局微信公众号刊载商业主体“以旧换新”各项活动，</w:t>
      </w:r>
      <w:r>
        <w:rPr>
          <w:rFonts w:hint="default" w:ascii="Times New Roman" w:hAnsi="Times New Roman" w:eastAsia="方正仿宋_GBK" w:cs="Times New Roman"/>
          <w:color w:val="000000"/>
          <w:spacing w:val="4"/>
          <w:sz w:val="32"/>
          <w:szCs w:val="32"/>
        </w:rPr>
        <w:t>全方</w:t>
      </w:r>
      <w:r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</w:rPr>
        <w:t>位、多渠道、深层次解读宣传，努力提高</w:t>
      </w:r>
      <w:r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lang w:val="en-US" w:eastAsia="zh-CN"/>
        </w:rPr>
        <w:t>以旧换新</w:t>
      </w:r>
      <w:r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lang w:val="en-US" w:eastAsia="zh-CN"/>
        </w:rPr>
        <w:t>促消费</w:t>
      </w:r>
      <w:r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</w:rPr>
        <w:t>政策措施知晓度</w:t>
      </w:r>
      <w:r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lang w:val="en-US" w:eastAsia="zh-CN"/>
        </w:rPr>
        <w:t>及时归纳总结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，通过省市主流媒体，及时总结推广以旧换新最新做法、成效等。对工作中涌现的鲜活案例及时宣传报道，营造良好氛围。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（责任处室：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综合处、运行处、市场处、再管中心）</w:t>
      </w:r>
    </w:p>
    <w:p w14:paraId="3738148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四、保障措施</w:t>
      </w:r>
    </w:p>
    <w:p w14:paraId="243E80F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</w:rPr>
        <w:t>（一）加强研究，协同推进。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专班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组建工作联络群，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定期组织会商研究，安排部署阶段性工作，重大问题及时报请牵头领导专题研究。牵头处室负责抓总，参与处室主动靠前，共同研究，统筹谋划，齐心协力推动我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消费品以旧换新工作。</w:t>
      </w:r>
    </w:p>
    <w:p w14:paraId="711D2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</w:rPr>
        <w:t>（二）健全机制，细化落实。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明确年度工作要点，并按要求细化分解，形成工作责任清单。专班实行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定期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交流制度，研究解决工作推进过程中面临的突出困难问题，部署推进下一步工作；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实行周汇报制度，每周向局党组报告工作进度。</w:t>
      </w:r>
    </w:p>
    <w:p w14:paraId="33763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</w:rPr>
        <w:t>（三）注重宣传，掌握底数。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做好政策解读和宣传工作，共同营造推动大规模消费品以旧换新的良好社会氛围。充分发挥有关行业协会的作用，推动销售企业、回收企业、拆解企业与相关行业协会的数据信息对接，及时掌握售新、收旧、拆解等方面的数据，并做好分析工作。</w:t>
      </w:r>
    </w:p>
    <w:p w14:paraId="6633C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1F8E4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市商务局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消费品以旧换新工作专班2024年度工作清单汇总表</w:t>
      </w:r>
    </w:p>
    <w:p w14:paraId="17C681D3">
      <w:pPr>
        <w:pStyle w:val="17"/>
        <w:rPr>
          <w:rFonts w:hint="default" w:ascii="Times New Roman" w:hAnsi="Times New Roman" w:cs="Times New Roman"/>
        </w:rPr>
      </w:pPr>
    </w:p>
    <w:p w14:paraId="5DC39E0A"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7C1F683C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2024年淮安市推动大规模设备更新和消费品以旧换新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重点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任务清单</w:t>
      </w:r>
    </w:p>
    <w:p w14:paraId="251944A3">
      <w:pPr>
        <w:pStyle w:val="17"/>
        <w:spacing w:line="320" w:lineRule="exact"/>
        <w:ind w:firstLine="400"/>
        <w:rPr>
          <w:rFonts w:hint="default" w:ascii="Times New Roman" w:hAnsi="Times New Roman" w:cs="Times New Roman"/>
        </w:rPr>
      </w:pPr>
    </w:p>
    <w:tbl>
      <w:tblPr>
        <w:tblStyle w:val="18"/>
        <w:tblW w:w="13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25"/>
        <w:gridCol w:w="2875"/>
        <w:gridCol w:w="2587"/>
        <w:gridCol w:w="4150"/>
        <w:gridCol w:w="1677"/>
      </w:tblGrid>
      <w:tr w14:paraId="52CF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866" w:type="dxa"/>
            <w:vAlign w:val="center"/>
          </w:tcPr>
          <w:p w14:paraId="723293F2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25" w:type="dxa"/>
            <w:vAlign w:val="center"/>
          </w:tcPr>
          <w:p w14:paraId="0F00811B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领域</w:t>
            </w:r>
          </w:p>
        </w:tc>
        <w:tc>
          <w:tcPr>
            <w:tcW w:w="2875" w:type="dxa"/>
            <w:vAlign w:val="center"/>
          </w:tcPr>
          <w:p w14:paraId="65E9D3BD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2024年推进任务</w:t>
            </w:r>
          </w:p>
        </w:tc>
        <w:tc>
          <w:tcPr>
            <w:tcW w:w="2587" w:type="dxa"/>
            <w:vAlign w:val="center"/>
          </w:tcPr>
          <w:p w14:paraId="1682506C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省文件要求</w:t>
            </w:r>
          </w:p>
        </w:tc>
        <w:tc>
          <w:tcPr>
            <w:tcW w:w="4150" w:type="dxa"/>
            <w:vAlign w:val="center"/>
          </w:tcPr>
          <w:p w14:paraId="7E461A79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依据</w:t>
            </w:r>
          </w:p>
        </w:tc>
        <w:tc>
          <w:tcPr>
            <w:tcW w:w="1677" w:type="dxa"/>
            <w:vAlign w:val="center"/>
          </w:tcPr>
          <w:p w14:paraId="45E2BB56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责任处室</w:t>
            </w:r>
          </w:p>
        </w:tc>
      </w:tr>
      <w:tr w14:paraId="7D2C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66" w:type="dxa"/>
            <w:vAlign w:val="center"/>
          </w:tcPr>
          <w:p w14:paraId="680DACC4">
            <w:pPr>
              <w:pStyle w:val="36"/>
              <w:keepNext w:val="0"/>
              <w:keepLines w:val="0"/>
              <w:numPr>
                <w:ilvl w:val="0"/>
                <w:numId w:val="2"/>
              </w:numPr>
              <w:suppressLineNumbers w:val="0"/>
              <w:tabs>
                <w:tab w:val="left" w:pos="420"/>
                <w:tab w:val="clear" w:pos="0"/>
              </w:tabs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1DB7BCB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车辆</w:t>
            </w:r>
          </w:p>
        </w:tc>
        <w:tc>
          <w:tcPr>
            <w:tcW w:w="2875" w:type="dxa"/>
            <w:shd w:val="clear" w:color="auto" w:fill="FFFFFF"/>
            <w:vAlign w:val="center"/>
          </w:tcPr>
          <w:p w14:paraId="1D4D7740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回收报废汽车约1.2万辆。</w:t>
            </w:r>
          </w:p>
        </w:tc>
        <w:tc>
          <w:tcPr>
            <w:tcW w:w="2587" w:type="dxa"/>
            <w:shd w:val="clear" w:color="auto" w:fill="FFFFFF"/>
            <w:vAlign w:val="center"/>
          </w:tcPr>
          <w:p w14:paraId="2148043E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回收报废汽车约25万辆</w:t>
            </w:r>
          </w:p>
        </w:tc>
        <w:tc>
          <w:tcPr>
            <w:tcW w:w="4150" w:type="dxa"/>
            <w:shd w:val="clear" w:color="auto" w:fill="FFFFFF"/>
            <w:vAlign w:val="center"/>
          </w:tcPr>
          <w:p w14:paraId="65A483CB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我市2023年报废机动车1.01万辆，2027年任务增长到2万辆左右，按照平均增速今年需增长至1.2万辆。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693F946C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市场处</w:t>
            </w:r>
          </w:p>
        </w:tc>
      </w:tr>
      <w:tr w14:paraId="199E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866" w:type="dxa"/>
            <w:vAlign w:val="center"/>
          </w:tcPr>
          <w:p w14:paraId="5AEA8D31">
            <w:pPr>
              <w:pStyle w:val="36"/>
              <w:keepNext w:val="0"/>
              <w:keepLines w:val="0"/>
              <w:numPr>
                <w:ilvl w:val="0"/>
                <w:numId w:val="2"/>
              </w:numPr>
              <w:suppressLineNumbers w:val="0"/>
              <w:tabs>
                <w:tab w:val="left" w:pos="420"/>
                <w:tab w:val="clear" w:pos="0"/>
              </w:tabs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54CE94F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14:paraId="41D7E2E1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力争限额以上汽车销售企业新增数增长5%以上。</w:t>
            </w:r>
          </w:p>
        </w:tc>
        <w:tc>
          <w:tcPr>
            <w:tcW w:w="2587" w:type="dxa"/>
            <w:vAlign w:val="center"/>
          </w:tcPr>
          <w:p w14:paraId="475028D5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注：我市创新做法</w:t>
            </w:r>
          </w:p>
        </w:tc>
        <w:tc>
          <w:tcPr>
            <w:tcW w:w="4150" w:type="dxa"/>
            <w:vAlign w:val="center"/>
          </w:tcPr>
          <w:p w14:paraId="7E9404A8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2024年春季汽车补贴活动推动3家车企列统入库，预计全年可完成5-6家列统任务。全市限上4S企业数为115家，预计可完成限额以上汽车销售企业新增数增长5%。</w:t>
            </w:r>
          </w:p>
        </w:tc>
        <w:tc>
          <w:tcPr>
            <w:tcW w:w="1677" w:type="dxa"/>
            <w:vAlign w:val="center"/>
          </w:tcPr>
          <w:p w14:paraId="008B0F07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运行处</w:t>
            </w:r>
          </w:p>
        </w:tc>
      </w:tr>
      <w:tr w14:paraId="5646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66" w:type="dxa"/>
            <w:vAlign w:val="center"/>
          </w:tcPr>
          <w:p w14:paraId="35DD5DE5">
            <w:pPr>
              <w:pStyle w:val="36"/>
              <w:keepNext w:val="0"/>
              <w:keepLines w:val="0"/>
              <w:numPr>
                <w:ilvl w:val="0"/>
                <w:numId w:val="2"/>
              </w:numPr>
              <w:suppressLineNumbers w:val="0"/>
              <w:tabs>
                <w:tab w:val="left" w:pos="420"/>
                <w:tab w:val="clear" w:pos="0"/>
              </w:tabs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A5D5CA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家电产品</w:t>
            </w:r>
          </w:p>
        </w:tc>
        <w:tc>
          <w:tcPr>
            <w:tcW w:w="2875" w:type="dxa"/>
            <w:vAlign w:val="center"/>
          </w:tcPr>
          <w:p w14:paraId="1D36D2B2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更新家电（含电冰箱、洗衣机、空调、电视等）40万台。</w:t>
            </w:r>
          </w:p>
        </w:tc>
        <w:tc>
          <w:tcPr>
            <w:tcW w:w="2587" w:type="dxa"/>
            <w:vAlign w:val="center"/>
          </w:tcPr>
          <w:p w14:paraId="2942ADBE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更新家电（含电冰箱、洗衣机、空调、电视等）750万台</w:t>
            </w:r>
          </w:p>
        </w:tc>
        <w:tc>
          <w:tcPr>
            <w:tcW w:w="4150" w:type="dxa"/>
            <w:vAlign w:val="center"/>
          </w:tcPr>
          <w:p w14:paraId="175A8FF1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按照常住人口测算，淮安 453.8万，江苏8526万，由全省750万台测算淮安每年以旧换新40万台。</w:t>
            </w:r>
          </w:p>
        </w:tc>
        <w:tc>
          <w:tcPr>
            <w:tcW w:w="1677" w:type="dxa"/>
            <w:vAlign w:val="center"/>
          </w:tcPr>
          <w:p w14:paraId="64DA88E2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运行处</w:t>
            </w:r>
          </w:p>
        </w:tc>
      </w:tr>
      <w:tr w14:paraId="6CAA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866" w:type="dxa"/>
            <w:vAlign w:val="center"/>
          </w:tcPr>
          <w:p w14:paraId="6F1DABB7">
            <w:pPr>
              <w:pStyle w:val="36"/>
              <w:keepNext w:val="0"/>
              <w:keepLines w:val="0"/>
              <w:numPr>
                <w:ilvl w:val="0"/>
                <w:numId w:val="2"/>
              </w:numPr>
              <w:suppressLineNumbers w:val="0"/>
              <w:tabs>
                <w:tab w:val="left" w:pos="420"/>
                <w:tab w:val="clear" w:pos="0"/>
              </w:tabs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47ECA9A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资源回收</w:t>
            </w:r>
          </w:p>
        </w:tc>
        <w:tc>
          <w:tcPr>
            <w:tcW w:w="2875" w:type="dxa"/>
            <w:vAlign w:val="center"/>
          </w:tcPr>
          <w:p w14:paraId="6665630C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2024年再生资源回收企业备案数为450家，综合分拣中心为1-2家。</w:t>
            </w:r>
          </w:p>
        </w:tc>
        <w:tc>
          <w:tcPr>
            <w:tcW w:w="2587" w:type="dxa"/>
            <w:vAlign w:val="center"/>
          </w:tcPr>
          <w:p w14:paraId="7DE21F04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到2027年再生资源回收企业数量超18000家，综合分拣中心数量超100个。</w:t>
            </w:r>
          </w:p>
        </w:tc>
        <w:tc>
          <w:tcPr>
            <w:tcW w:w="4150" w:type="dxa"/>
            <w:vAlign w:val="center"/>
          </w:tcPr>
          <w:p w14:paraId="3A7F9287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省方案在2024年推进任务中未明确要求。根据备案系统保有量结合近期“反向开票”落实对备案的影响及排除僵尸企业名单后推算。</w:t>
            </w:r>
          </w:p>
        </w:tc>
        <w:tc>
          <w:tcPr>
            <w:tcW w:w="1677" w:type="dxa"/>
            <w:vAlign w:val="center"/>
          </w:tcPr>
          <w:p w14:paraId="443B37AC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再管中心</w:t>
            </w:r>
          </w:p>
        </w:tc>
      </w:tr>
      <w:tr w14:paraId="5334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66" w:type="dxa"/>
            <w:vAlign w:val="center"/>
          </w:tcPr>
          <w:p w14:paraId="4F159724">
            <w:pPr>
              <w:pStyle w:val="36"/>
              <w:keepNext w:val="0"/>
              <w:keepLines w:val="0"/>
              <w:numPr>
                <w:ilvl w:val="0"/>
                <w:numId w:val="2"/>
              </w:numPr>
              <w:suppressLineNumbers w:val="0"/>
              <w:tabs>
                <w:tab w:val="left" w:pos="420"/>
                <w:tab w:val="clear" w:pos="0"/>
              </w:tabs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0C768DD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14:paraId="7AE4FCC4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废旧家电回收量较2023年增长5%以上、达142万台。</w:t>
            </w:r>
          </w:p>
        </w:tc>
        <w:tc>
          <w:tcPr>
            <w:tcW w:w="2587" w:type="dxa"/>
            <w:vAlign w:val="center"/>
          </w:tcPr>
          <w:p w14:paraId="75664613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注：根据国务院《行动方案》“废旧家电回收量增长30%”，我市拥有苏北最大废旧家电回收交易市场和拆解基地，积极争创家电回收典型企业。</w:t>
            </w:r>
          </w:p>
        </w:tc>
        <w:tc>
          <w:tcPr>
            <w:tcW w:w="4150" w:type="dxa"/>
            <w:vAlign w:val="center"/>
          </w:tcPr>
          <w:p w14:paraId="6C1DAF84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受国家家电拆解补贴政策取消、家电经销商、消费者、回收经营者对“以旧换新”政策观望等影响，一季度我市家电回收拆解主要企业回收量仅15.7万台，同比下降50%，新建新九类废旧家电回收拆解项目年底才能建成，对今年回收量帮助不大。</w:t>
            </w:r>
          </w:p>
        </w:tc>
        <w:tc>
          <w:tcPr>
            <w:tcW w:w="1677" w:type="dxa"/>
            <w:vAlign w:val="center"/>
          </w:tcPr>
          <w:p w14:paraId="3FB0C02E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再管中心</w:t>
            </w:r>
          </w:p>
        </w:tc>
      </w:tr>
      <w:tr w14:paraId="1127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 w14:paraId="172DD2DB">
            <w:pPr>
              <w:pStyle w:val="36"/>
              <w:keepNext w:val="0"/>
              <w:keepLines w:val="0"/>
              <w:numPr>
                <w:ilvl w:val="0"/>
                <w:numId w:val="2"/>
              </w:numPr>
              <w:suppressLineNumbers w:val="0"/>
              <w:tabs>
                <w:tab w:val="left" w:pos="420"/>
                <w:tab w:val="clear" w:pos="0"/>
              </w:tabs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3BE55D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循环利用</w:t>
            </w:r>
          </w:p>
        </w:tc>
        <w:tc>
          <w:tcPr>
            <w:tcW w:w="2875" w:type="dxa"/>
            <w:vAlign w:val="center"/>
          </w:tcPr>
          <w:p w14:paraId="3A0F27D1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培育再生资源回收典型企业2家左右。</w:t>
            </w:r>
          </w:p>
        </w:tc>
        <w:tc>
          <w:tcPr>
            <w:tcW w:w="2587" w:type="dxa"/>
            <w:vAlign w:val="center"/>
          </w:tcPr>
          <w:p w14:paraId="17FED40C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培育废旧家电等再生资源回收典型企业10家左右。</w:t>
            </w:r>
          </w:p>
        </w:tc>
        <w:tc>
          <w:tcPr>
            <w:tcW w:w="4150" w:type="dxa"/>
            <w:vAlign w:val="center"/>
          </w:tcPr>
          <w:p w14:paraId="4F136EE7">
            <w:pPr>
              <w:pStyle w:val="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根据省方案任务分解结合我市实际积极向上争取。</w:t>
            </w:r>
          </w:p>
        </w:tc>
        <w:tc>
          <w:tcPr>
            <w:tcW w:w="1677" w:type="dxa"/>
            <w:vAlign w:val="center"/>
          </w:tcPr>
          <w:p w14:paraId="251FA7EB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再管中心</w:t>
            </w:r>
          </w:p>
          <w:p w14:paraId="10045EFB">
            <w:pPr>
              <w:pStyle w:val="36"/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4907D538">
      <w:pPr>
        <w:pStyle w:val="16"/>
        <w:rPr>
          <w:rFonts w:hint="eastAsia"/>
          <w:lang w:val="en-US"/>
        </w:rPr>
      </w:pPr>
    </w:p>
    <w:p w14:paraId="3C5CB681">
      <w:pPr>
        <w:pStyle w:val="16"/>
        <w:rPr>
          <w:rFonts w:hint="eastAsia"/>
          <w:b w:val="0"/>
          <w:bCs w:val="0"/>
          <w:lang w:val="en-US"/>
        </w:rPr>
      </w:pPr>
    </w:p>
    <w:p w14:paraId="00CBB20B">
      <w:pPr>
        <w:pStyle w:val="16"/>
        <w:rPr>
          <w:rFonts w:hint="default"/>
          <w:lang w:val="en-US" w:eastAsia="zh-CN"/>
        </w:rPr>
      </w:pPr>
    </w:p>
    <w:sectPr>
      <w:footerReference r:id="rId4" w:type="default"/>
      <w:pgSz w:w="16840" w:h="11907" w:orient="landscape"/>
      <w:pgMar w:top="1474" w:right="1588" w:bottom="1417" w:left="1418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945BA">
    <w:pPr>
      <w:pStyle w:val="10"/>
    </w:pPr>
    <w:r>
      <w:rPr>
        <w:sz w:val="18"/>
      </w:rP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62B59FE">
                <w:pPr>
                  <w:pStyle w:val="1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  <w:r>
      <w:rPr>
        <w:sz w:val="18"/>
      </w:rPr>
      <w:pict>
        <v:shape id="_x0000_s2054" o:spid="_x0000_s2054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600301AB">
                <w:pPr>
                  <w:pStyle w:val="1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5511E">
    <w:pPr>
      <w:pStyle w:val="10"/>
      <w:rPr>
        <w:rStyle w:val="21"/>
        <w:rFonts w:cs="Times New Roman"/>
      </w:rPr>
    </w:pPr>
    <w:r>
      <w:rPr>
        <w:sz w:val="18"/>
      </w:rP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474613">
                <w:pPr>
                  <w:pStyle w:val="1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9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  <w:r>
      <w:rPr>
        <w:sz w:val="18"/>
      </w:rPr>
      <w:pict>
        <v:shape id="_x0000_s2053" o:spid="_x0000_s2053" o:spt="202" type="#_x0000_t202" style="position:absolute;left:0pt;margin-left:312.85pt;margin-top:0pt;height:16.4pt;width:48.3pt;mso-position-horizontal-relative:margin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311C1E4">
                <w:pPr>
                  <w:pStyle w:val="1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0806608">
                <w:pPr>
                  <w:pStyle w:val="10"/>
                </w:pPr>
              </w:p>
            </w:txbxContent>
          </v:textbox>
        </v:shape>
      </w:pict>
    </w:r>
  </w:p>
  <w:p w14:paraId="77F861DF">
    <w:pPr>
      <w:pStyle w:val="10"/>
      <w:jc w:val="center"/>
      <w:rPr>
        <w:rStyle w:val="21"/>
        <w:rFonts w:cs="Times New Roman"/>
        <w:sz w:val="24"/>
        <w:szCs w:val="24"/>
      </w:rPr>
    </w:pPr>
    <w:r>
      <w:rPr>
        <w:sz w:val="24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199329C">
                <w:pPr>
                  <w:pStyle w:val="10"/>
                  <w:jc w:val="center"/>
                  <w:rPr>
                    <w:rFonts w:hint="eastAsia" w:eastAsia="宋体"/>
                    <w:lang w:val="en-US" w:eastAsia="zh-CN"/>
                  </w:rPr>
                </w:pPr>
              </w:p>
            </w:txbxContent>
          </v:textbox>
        </v:shape>
      </w:pict>
    </w:r>
  </w:p>
  <w:p w14:paraId="00357311">
    <w:pPr>
      <w:pStyle w:val="10"/>
      <w:ind w:right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05959"/>
    <w:multiLevelType w:val="singleLevel"/>
    <w:tmpl w:val="E460595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CE14FD"/>
    <w:multiLevelType w:val="singleLevel"/>
    <w:tmpl w:val="1ACE14FD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RkYTY0ZGFiZGQ1ODA5YzU0N2UxYzZlZDdhYmMzYzkifQ=="/>
  </w:docVars>
  <w:rsids>
    <w:rsidRoot w:val="004E7B89"/>
    <w:rsid w:val="00024811"/>
    <w:rsid w:val="000279E6"/>
    <w:rsid w:val="00031203"/>
    <w:rsid w:val="00091A82"/>
    <w:rsid w:val="000E17F8"/>
    <w:rsid w:val="00103569"/>
    <w:rsid w:val="001475A0"/>
    <w:rsid w:val="001A73A3"/>
    <w:rsid w:val="00226DBD"/>
    <w:rsid w:val="002E2E29"/>
    <w:rsid w:val="003126F6"/>
    <w:rsid w:val="00323167"/>
    <w:rsid w:val="003514D6"/>
    <w:rsid w:val="00367489"/>
    <w:rsid w:val="003A3B32"/>
    <w:rsid w:val="003C34DA"/>
    <w:rsid w:val="004E7B89"/>
    <w:rsid w:val="00546E0D"/>
    <w:rsid w:val="00592E20"/>
    <w:rsid w:val="00594940"/>
    <w:rsid w:val="005B69F8"/>
    <w:rsid w:val="006231C6"/>
    <w:rsid w:val="006C24DA"/>
    <w:rsid w:val="006D50D7"/>
    <w:rsid w:val="006E5805"/>
    <w:rsid w:val="0074184D"/>
    <w:rsid w:val="007A2839"/>
    <w:rsid w:val="00834A60"/>
    <w:rsid w:val="008D74A2"/>
    <w:rsid w:val="0096250A"/>
    <w:rsid w:val="00994C7A"/>
    <w:rsid w:val="009F69EC"/>
    <w:rsid w:val="00A14894"/>
    <w:rsid w:val="00A469E2"/>
    <w:rsid w:val="00A525C0"/>
    <w:rsid w:val="00A83BEB"/>
    <w:rsid w:val="00B3263E"/>
    <w:rsid w:val="00B643EC"/>
    <w:rsid w:val="00BA6BA7"/>
    <w:rsid w:val="00C257C0"/>
    <w:rsid w:val="00C80E48"/>
    <w:rsid w:val="00CD3F85"/>
    <w:rsid w:val="00D675B5"/>
    <w:rsid w:val="00D86DF1"/>
    <w:rsid w:val="00E13B85"/>
    <w:rsid w:val="00E47171"/>
    <w:rsid w:val="00E512E7"/>
    <w:rsid w:val="00EB4F31"/>
    <w:rsid w:val="00F32A6C"/>
    <w:rsid w:val="00F334C2"/>
    <w:rsid w:val="00F75944"/>
    <w:rsid w:val="00FE2E5F"/>
    <w:rsid w:val="00FE556A"/>
    <w:rsid w:val="00FE791F"/>
    <w:rsid w:val="01425D76"/>
    <w:rsid w:val="03E219EE"/>
    <w:rsid w:val="078B414B"/>
    <w:rsid w:val="0E910D8B"/>
    <w:rsid w:val="0EEE2ED1"/>
    <w:rsid w:val="14F43330"/>
    <w:rsid w:val="168D4772"/>
    <w:rsid w:val="26F63EB9"/>
    <w:rsid w:val="29003BF9"/>
    <w:rsid w:val="36794FEB"/>
    <w:rsid w:val="3A081A7A"/>
    <w:rsid w:val="42BA0E65"/>
    <w:rsid w:val="55171903"/>
    <w:rsid w:val="58206D0E"/>
    <w:rsid w:val="5D93488B"/>
    <w:rsid w:val="5EF824A7"/>
    <w:rsid w:val="62880450"/>
    <w:rsid w:val="69801C11"/>
    <w:rsid w:val="70E80A13"/>
    <w:rsid w:val="74A24DD4"/>
    <w:rsid w:val="7B4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99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 w:locked="1"/>
    <w:lsdException w:qFormat="1" w:unhideWhenUsed="0" w:uiPriority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5"/>
    <w:autoRedefine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link w:val="20"/>
    <w:autoRedefine/>
    <w:semiHidden/>
    <w:qFormat/>
    <w:locked/>
    <w:uiPriority w:val="99"/>
  </w:style>
  <w:style w:type="table" w:default="1" w:styleId="1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3"/>
    <w:autoRedefine/>
    <w:semiHidden/>
    <w:qFormat/>
    <w:uiPriority w:val="99"/>
    <w:pPr>
      <w:shd w:val="clear" w:color="auto" w:fill="000080"/>
    </w:pPr>
  </w:style>
  <w:style w:type="paragraph" w:styleId="6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7">
    <w:name w:val="Body Text Indent"/>
    <w:basedOn w:val="1"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30"/>
    <w:autoRedefine/>
    <w:qFormat/>
    <w:uiPriority w:val="99"/>
    <w:pPr>
      <w:ind w:left="2500" w:leftChars="2500"/>
    </w:pPr>
  </w:style>
  <w:style w:type="paragraph" w:styleId="9">
    <w:name w:val="Balloon Text"/>
    <w:basedOn w:val="1"/>
    <w:link w:val="32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locked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13">
    <w:name w:val="toc 2"/>
    <w:basedOn w:val="1"/>
    <w:next w:val="1"/>
    <w:semiHidden/>
    <w:qFormat/>
    <w:locked/>
    <w:uiPriority w:val="99"/>
    <w:pPr>
      <w:ind w:left="420" w:leftChars="200"/>
      <w:jc w:val="both"/>
    </w:pPr>
    <w:rPr>
      <w:color w:val="auto"/>
      <w:kern w:val="2"/>
      <w:sz w:val="21"/>
      <w:lang w:eastAsia="zh-CN"/>
    </w:rPr>
  </w:style>
  <w:style w:type="paragraph" w:styleId="14">
    <w:name w:val="HTML Preformatted"/>
    <w:basedOn w:val="1"/>
    <w:link w:val="35"/>
    <w:autoRedefine/>
    <w:semiHidden/>
    <w:unhideWhenUsed/>
    <w:qFormat/>
    <w:uiPriority w:val="99"/>
    <w:pPr>
      <w:keepNext w:val="0"/>
      <w:keepLines w:val="0"/>
      <w:widowControl w:val="0"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autoRedefine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6">
    <w:name w:val="Title"/>
    <w:basedOn w:val="1"/>
    <w:next w:val="1"/>
    <w:link w:val="31"/>
    <w:autoRedefine/>
    <w:qFormat/>
    <w:uiPriority w:val="99"/>
    <w:pPr>
      <w:widowControl/>
      <w:jc w:val="center"/>
    </w:pPr>
    <w:rPr>
      <w:b/>
      <w:bCs/>
      <w:kern w:val="0"/>
      <w:sz w:val="32"/>
      <w:szCs w:val="32"/>
    </w:rPr>
  </w:style>
  <w:style w:type="paragraph" w:styleId="17">
    <w:name w:val="Body Text First Indent 2"/>
    <w:basedOn w:val="7"/>
    <w:qFormat/>
    <w:uiPriority w:val="99"/>
    <w:pPr>
      <w:spacing w:after="0" w:line="360" w:lineRule="auto"/>
      <w:ind w:left="0" w:leftChars="0" w:firstLine="420" w:firstLineChars="200"/>
    </w:pPr>
    <w:rPr>
      <w:rFonts w:ascii="宋体" w:hAnsi="宋体"/>
      <w:sz w:val="20"/>
      <w:szCs w:val="20"/>
    </w:rPr>
  </w:style>
  <w:style w:type="paragraph" w:customStyle="1" w:styleId="20">
    <w:name w:val="_Style 28"/>
    <w:basedOn w:val="5"/>
    <w:link w:val="19"/>
    <w:autoRedefine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 w:cs="Times New Roman"/>
    </w:rPr>
  </w:style>
  <w:style w:type="character" w:styleId="21">
    <w:name w:val="page number"/>
    <w:basedOn w:val="19"/>
    <w:autoRedefine/>
    <w:qFormat/>
    <w:uiPriority w:val="99"/>
  </w:style>
  <w:style w:type="character" w:styleId="22">
    <w:name w:val="Hyperlink"/>
    <w:basedOn w:val="19"/>
    <w:autoRedefine/>
    <w:semiHidden/>
    <w:unhideWhenUsed/>
    <w:qFormat/>
    <w:uiPriority w:val="99"/>
    <w:rPr>
      <w:color w:val="0000FF"/>
      <w:u w:val="single"/>
    </w:rPr>
  </w:style>
  <w:style w:type="character" w:customStyle="1" w:styleId="23">
    <w:name w:val="Heading 1 Char"/>
    <w:basedOn w:val="19"/>
    <w:link w:val="2"/>
    <w:autoRedefine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24">
    <w:name w:val="Heading 2 Char"/>
    <w:basedOn w:val="19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Heading 3 Char"/>
    <w:basedOn w:val="19"/>
    <w:link w:val="4"/>
    <w:autoRedefine/>
    <w:semiHidden/>
    <w:qFormat/>
    <w:uiPriority w:val="9"/>
    <w:rPr>
      <w:rFonts w:ascii="Calibri" w:hAnsi="Calibri" w:cs="Calibri"/>
      <w:b/>
      <w:bCs/>
      <w:sz w:val="32"/>
      <w:szCs w:val="32"/>
    </w:rPr>
  </w:style>
  <w:style w:type="paragraph" w:customStyle="1" w:styleId="26">
    <w:name w:val="Char Char Char Char Char Char Char Char Char Char Char Char Char"/>
    <w:basedOn w:val="1"/>
    <w:autoRedefine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styleId="27">
    <w:name w:val="List Paragraph"/>
    <w:basedOn w:val="1"/>
    <w:autoRedefine/>
    <w:qFormat/>
    <w:uiPriority w:val="99"/>
    <w:pPr>
      <w:ind w:firstLine="200" w:firstLineChars="200"/>
    </w:pPr>
  </w:style>
  <w:style w:type="character" w:customStyle="1" w:styleId="28">
    <w:name w:val="Header Char"/>
    <w:basedOn w:val="19"/>
    <w:link w:val="11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9">
    <w:name w:val="Footer Char"/>
    <w:basedOn w:val="19"/>
    <w:link w:val="10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30">
    <w:name w:val="Date Char"/>
    <w:basedOn w:val="19"/>
    <w:link w:val="8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31">
    <w:name w:val="Title Char"/>
    <w:basedOn w:val="19"/>
    <w:link w:val="16"/>
    <w:autoRedefine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32">
    <w:name w:val="Balloon Text Char"/>
    <w:basedOn w:val="19"/>
    <w:link w:val="9"/>
    <w:autoRedefine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33">
    <w:name w:val="Document Map Char"/>
    <w:basedOn w:val="19"/>
    <w:link w:val="5"/>
    <w:autoRedefine/>
    <w:semiHidden/>
    <w:qFormat/>
    <w:uiPriority w:val="99"/>
    <w:rPr>
      <w:sz w:val="0"/>
      <w:szCs w:val="0"/>
    </w:rPr>
  </w:style>
  <w:style w:type="character" w:customStyle="1" w:styleId="34">
    <w:name w:val="页脚 Char"/>
    <w:basedOn w:val="19"/>
    <w:link w:val="10"/>
    <w:autoRedefine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35">
    <w:name w:val="HTML 预设格式 Char"/>
    <w:basedOn w:val="19"/>
    <w:link w:val="14"/>
    <w:autoRedefine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36">
    <w:name w:val="paragraph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5" textRotate="1"/>
    <customShpInfo spid="_x0000_s2054" textRotate="1"/>
    <customShpInfo spid="_x0000_s2056" textRotate="1"/>
    <customShpInfo spid="_x0000_s2053" textRotate="1"/>
    <customShpInfo spid="_x0000_s2050" textRotate="1"/>
    <customShpInfo spid="_x0000_s2049" textRotate="1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10</Pages>
  <Words>3552</Words>
  <Characters>3685</Characters>
  <Lines>0</Lines>
  <Paragraphs>0</Paragraphs>
  <TotalTime>15</TotalTime>
  <ScaleCrop>false</ScaleCrop>
  <LinksUpToDate>false</LinksUpToDate>
  <CharactersWithSpaces>3818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2023-03-30T03:13:00Z</dcterms:created>
  <dc:creator>xll</dc:creator>
  <cp:lastModifiedBy>静思</cp:lastModifiedBy>
  <cp:lastPrinted>2024-05-30T06:58:00Z</cp:lastPrinted>
  <dcterms:modified xsi:type="dcterms:W3CDTF">2024-08-07T01:10:32Z</dcterms:modified>
  <dc:title>淮商政法〔2021〕25号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6318EFB447E341EDBCB8BD781DDD7419_12</vt:lpwstr>
  </property>
</Properties>
</file>